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lang w:eastAsia="zh-CN"/>
        </w:rPr>
        <w:t>沙湾区</w:t>
      </w:r>
      <w:r>
        <w:rPr>
          <w:rFonts w:hint="eastAsia" w:ascii="黑体" w:hAnsi="黑体" w:eastAsia="黑体" w:cs="黑体"/>
          <w:sz w:val="44"/>
          <w:szCs w:val="44"/>
          <w:lang w:val="en-US" w:eastAsia="zh-CN"/>
        </w:rPr>
        <w:t>2025年财政衔接推进乡村振兴补助资金项</w:t>
      </w:r>
      <w:r>
        <w:rPr>
          <w:rFonts w:hint="eastAsia" w:ascii="黑体" w:hAnsi="黑体" w:eastAsia="黑体" w:cs="黑体"/>
          <w:sz w:val="44"/>
          <w:szCs w:val="44"/>
        </w:rPr>
        <w:t>目</w:t>
      </w:r>
      <w:r>
        <w:rPr>
          <w:rFonts w:hint="eastAsia" w:ascii="黑体" w:hAnsi="黑体" w:eastAsia="黑体" w:cs="黑体"/>
          <w:sz w:val="44"/>
          <w:szCs w:val="44"/>
          <w:lang w:eastAsia="zh-CN"/>
        </w:rPr>
        <w:t>年度实施计划中期调整</w:t>
      </w:r>
      <w:r>
        <w:rPr>
          <w:rFonts w:hint="eastAsia" w:ascii="黑体" w:hAnsi="黑体" w:eastAsia="黑体" w:cs="黑体"/>
          <w:sz w:val="44"/>
          <w:szCs w:val="44"/>
        </w:rPr>
        <w:t>公告</w:t>
      </w:r>
    </w:p>
    <w:p>
      <w:pPr>
        <w:rPr>
          <w:rFonts w:hint="eastAsia" w:ascii="仿宋" w:hAnsi="仿宋" w:eastAsia="仿宋" w:cs="仿宋"/>
          <w:sz w:val="32"/>
          <w:szCs w:val="32"/>
        </w:rPr>
      </w:pP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根据四川省农业农村厅《关于做好2025年度县级巩固拓展脱贫攻坚成果和乡村振兴项目库建设工作的通知》(N</w:t>
      </w:r>
      <w:r>
        <w:rPr>
          <w:rFonts w:hint="eastAsia" w:ascii="仿宋_GB2312" w:hAnsi="仿宋_GB2312" w:eastAsia="仿宋_GB2312" w:cs="仿宋_GB2312"/>
          <w:sz w:val="32"/>
          <w:szCs w:val="32"/>
          <w:lang w:val="en-US" w:eastAsia="zh-CN"/>
        </w:rPr>
        <w:t>〔</w:t>
      </w:r>
      <w:r>
        <w:rPr>
          <w:rFonts w:hint="eastAsia" w:ascii="仿宋" w:hAnsi="仿宋" w:eastAsia="仿宋" w:cs="仿宋"/>
          <w:sz w:val="32"/>
          <w:szCs w:val="32"/>
          <w:lang w:val="en-US" w:eastAsia="zh-CN"/>
        </w:rPr>
        <w:t>2024</w:t>
      </w:r>
      <w:r>
        <w:rPr>
          <w:rFonts w:hint="eastAsia" w:ascii="仿宋_GB2312" w:hAnsi="仿宋_GB2312" w:eastAsia="仿宋_GB2312" w:cs="仿宋_GB2312"/>
          <w:sz w:val="32"/>
          <w:szCs w:val="32"/>
          <w:lang w:val="en-US" w:eastAsia="zh-CN"/>
        </w:rPr>
        <w:t>〕</w:t>
      </w:r>
      <w:r>
        <w:rPr>
          <w:rFonts w:hint="eastAsia" w:ascii="仿宋" w:hAnsi="仿宋" w:eastAsia="仿宋" w:cs="仿宋"/>
          <w:sz w:val="32"/>
          <w:szCs w:val="32"/>
          <w:lang w:val="en-US" w:eastAsia="zh-CN"/>
        </w:rPr>
        <w:t>一2623号）文件要求，中期调整为：①增加年度项目实施计划项目16个，投入资金5698.9317万元，申请补助2025年财政衔接资金2820.6367万元；②减少年度项目实施计划项目12个，投入资金587万元，减少财政衔接补助资金544万元，自筹资金43万元；③变更单个项目年度实施计划投资金额14个，原投入资金3616.8万元，申请补助财政衔接资金3209.8万元，自筹资金407万元，变更为投入资金3082.553万元，申请补助财政衔接资金2812.053万元，自筹资金270.5万元。已</w:t>
      </w:r>
      <w:r>
        <w:rPr>
          <w:rFonts w:hint="eastAsia" w:ascii="仿宋" w:hAnsi="仿宋" w:eastAsia="仿宋" w:cs="仿宋"/>
          <w:sz w:val="32"/>
          <w:szCs w:val="32"/>
          <w:lang w:eastAsia="zh-CN"/>
        </w:rPr>
        <w:t>报中共沙湾区委农村工作领导小组同意，现予以公告</w:t>
      </w:r>
      <w:r>
        <w:rPr>
          <w:rFonts w:hint="eastAsia" w:ascii="仿宋" w:hAnsi="仿宋" w:eastAsia="仿宋" w:cs="仿宋"/>
          <w:sz w:val="32"/>
          <w:szCs w:val="32"/>
          <w:lang w:val="en-US" w:eastAsia="zh-CN"/>
        </w:rPr>
        <w:t>,敬请社会各界和广大群众监督。 </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监督电话：08333441255</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意见收集人：张海军 ， 电子邮箱：</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 HYPERLINK "mailto:416152215@qq.com，" </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416152215@qq.com，</w:t>
      </w:r>
      <w:r>
        <w:rPr>
          <w:rFonts w:hint="eastAsia" w:ascii="仿宋" w:hAnsi="仿宋" w:eastAsia="仿宋" w:cs="仿宋"/>
          <w:sz w:val="32"/>
          <w:szCs w:val="32"/>
          <w:lang w:val="en-US" w:eastAsia="zh-CN"/>
        </w:rPr>
        <w:fldChar w:fldCharType="end"/>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通讯地址：乐山市沙湾区农业农村局</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xml:space="preserve">      </w:t>
      </w:r>
    </w:p>
    <w:p>
      <w:pPr>
        <w:ind w:firstLine="5440" w:firstLineChars="1700"/>
        <w:rPr>
          <w:rFonts w:hint="eastAsia" w:ascii="仿宋" w:hAnsi="仿宋" w:eastAsia="仿宋" w:cs="仿宋"/>
          <w:sz w:val="32"/>
          <w:szCs w:val="32"/>
          <w:lang w:eastAsia="zh-CN"/>
        </w:rPr>
      </w:pPr>
      <w:r>
        <w:rPr>
          <w:rFonts w:hint="eastAsia" w:ascii="仿宋" w:hAnsi="仿宋" w:eastAsia="仿宋" w:cs="仿宋"/>
          <w:sz w:val="32"/>
          <w:szCs w:val="32"/>
          <w:lang w:eastAsia="zh-CN"/>
        </w:rPr>
        <w:t>乐山市沙湾区农业农村局</w:t>
      </w:r>
    </w:p>
    <w:p>
      <w:pPr>
        <w:ind w:firstLine="6080" w:firstLineChars="1900"/>
        <w:rPr>
          <w:rFonts w:hint="eastAsia"/>
          <w:lang w:val="en-US" w:eastAsia="zh-CN"/>
        </w:rPr>
      </w:pPr>
      <w:r>
        <w:rPr>
          <w:rFonts w:hint="eastAsia" w:ascii="仿宋" w:hAnsi="仿宋" w:eastAsia="仿宋" w:cs="仿宋"/>
          <w:sz w:val="32"/>
          <w:szCs w:val="32"/>
        </w:rPr>
        <w:t>20</w:t>
      </w:r>
      <w:r>
        <w:rPr>
          <w:rFonts w:hint="eastAsia" w:ascii="仿宋" w:hAnsi="仿宋" w:eastAsia="仿宋" w:cs="仿宋"/>
          <w:sz w:val="32"/>
          <w:szCs w:val="32"/>
          <w:lang w:val="en-US" w:eastAsia="zh-CN"/>
        </w:rPr>
        <w:t>25</w:t>
      </w:r>
      <w:r>
        <w:rPr>
          <w:rFonts w:hint="eastAsia" w:ascii="仿宋" w:hAnsi="仿宋" w:eastAsia="仿宋" w:cs="仿宋"/>
          <w:sz w:val="32"/>
          <w:szCs w:val="32"/>
        </w:rPr>
        <w:t>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30</w:t>
      </w:r>
      <w:r>
        <w:rPr>
          <w:rFonts w:hint="eastAsia" w:ascii="仿宋" w:hAnsi="仿宋" w:eastAsia="仿宋" w:cs="仿宋"/>
          <w:sz w:val="32"/>
          <w:szCs w:val="32"/>
        </w:rPr>
        <w:t>日</w:t>
      </w:r>
    </w:p>
    <w:p>
      <w:pPr>
        <w:pStyle w:val="3"/>
        <w:rPr>
          <w:rFonts w:hint="eastAsia"/>
          <w:lang w:val="en-US" w:eastAsia="zh-CN"/>
        </w:rPr>
        <w:sectPr>
          <w:pgSz w:w="11906" w:h="16838"/>
          <w:pgMar w:top="1383" w:right="1349" w:bottom="1383" w:left="1349" w:header="851" w:footer="992" w:gutter="0"/>
          <w:cols w:space="0" w:num="1"/>
          <w:rtlGutter w:val="0"/>
          <w:docGrid w:type="lines" w:linePitch="312" w:charSpace="0"/>
        </w:sectPr>
      </w:pPr>
    </w:p>
    <w:tbl>
      <w:tblPr>
        <w:tblStyle w:val="4"/>
        <w:tblW w:w="21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5"/>
        <w:gridCol w:w="1350"/>
        <w:gridCol w:w="930"/>
        <w:gridCol w:w="720"/>
        <w:gridCol w:w="885"/>
        <w:gridCol w:w="1035"/>
        <w:gridCol w:w="915"/>
        <w:gridCol w:w="1035"/>
        <w:gridCol w:w="1125"/>
        <w:gridCol w:w="2385"/>
        <w:gridCol w:w="1935"/>
        <w:gridCol w:w="675"/>
        <w:gridCol w:w="945"/>
        <w:gridCol w:w="930"/>
        <w:gridCol w:w="1005"/>
        <w:gridCol w:w="660"/>
        <w:gridCol w:w="978"/>
        <w:gridCol w:w="869"/>
        <w:gridCol w:w="867"/>
        <w:gridCol w:w="978"/>
        <w:gridCol w:w="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5" w:hRule="atLeast"/>
        </w:trPr>
        <w:tc>
          <w:tcPr>
            <w:tcW w:w="21280" w:type="dxa"/>
            <w:gridSpan w:val="21"/>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方正小标宋简体" w:hAnsi="方正小标宋简体" w:eastAsia="方正小标宋简体" w:cs="方正小标宋简体"/>
                <w:i w:val="0"/>
                <w:iCs w:val="0"/>
                <w:color w:val="000000"/>
                <w:sz w:val="56"/>
                <w:szCs w:val="56"/>
                <w:u w:val="none"/>
              </w:rPr>
            </w:pPr>
            <w:r>
              <w:rPr>
                <w:rFonts w:hint="eastAsia" w:ascii="方正小标宋简体" w:hAnsi="方正小标宋简体" w:eastAsia="方正小标宋简体" w:cs="方正小标宋简体"/>
                <w:i w:val="0"/>
                <w:iCs w:val="0"/>
                <w:color w:val="000000"/>
                <w:kern w:val="0"/>
                <w:sz w:val="56"/>
                <w:szCs w:val="56"/>
                <w:u w:val="none"/>
                <w:lang w:val="en-US" w:eastAsia="zh-CN" w:bidi="ar"/>
              </w:rPr>
              <w:t>沙湾区2025年财政衔接推进乡村振兴补助资金年度项目实施计划中期调整增加表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trPr>
        <w:tc>
          <w:tcPr>
            <w:tcW w:w="6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序号</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项目名称</w:t>
            </w:r>
          </w:p>
        </w:tc>
        <w:tc>
          <w:tcPr>
            <w:tcW w:w="357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项目库信息</w:t>
            </w:r>
          </w:p>
        </w:tc>
        <w:tc>
          <w:tcPr>
            <w:tcW w:w="73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项目摘要</w:t>
            </w:r>
          </w:p>
        </w:tc>
        <w:tc>
          <w:tcPr>
            <w:tcW w:w="25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实施时间</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项目预算总投资</w:t>
            </w:r>
            <w:r>
              <w:rPr>
                <w:rFonts w:hint="eastAsia" w:ascii="黑体" w:hAnsi="宋体" w:eastAsia="黑体" w:cs="黑体"/>
                <w:b/>
                <w:bCs/>
                <w:i w:val="0"/>
                <w:iCs w:val="0"/>
                <w:color w:val="000000"/>
                <w:kern w:val="0"/>
                <w:sz w:val="24"/>
                <w:szCs w:val="24"/>
                <w:u w:val="none"/>
                <w:lang w:val="en-US" w:eastAsia="zh-CN" w:bidi="ar"/>
              </w:rPr>
              <w:br w:type="textWrapping"/>
            </w:r>
            <w:r>
              <w:rPr>
                <w:rFonts w:hint="eastAsia" w:ascii="黑体" w:hAnsi="宋体" w:eastAsia="黑体" w:cs="黑体"/>
                <w:b/>
                <w:bCs/>
                <w:i w:val="0"/>
                <w:iCs w:val="0"/>
                <w:color w:val="000000"/>
                <w:kern w:val="0"/>
                <w:sz w:val="24"/>
                <w:szCs w:val="24"/>
                <w:u w:val="none"/>
                <w:lang w:val="en-US" w:eastAsia="zh-CN" w:bidi="ar"/>
              </w:rPr>
              <w:t>（万元）</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以前年度资金安排情况</w:t>
            </w:r>
          </w:p>
        </w:tc>
        <w:tc>
          <w:tcPr>
            <w:tcW w:w="27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2025年度计划安排衔接资金（巩固拓展脱贫攻坚成果和乡村振兴任务）（万元）</w:t>
            </w:r>
          </w:p>
        </w:tc>
        <w:tc>
          <w:tcPr>
            <w:tcW w:w="9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自筹资金及其他财政资金</w:t>
            </w:r>
          </w:p>
        </w:tc>
        <w:tc>
          <w:tcPr>
            <w:tcW w:w="4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trPr>
        <w:tc>
          <w:tcPr>
            <w:tcW w:w="6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项目库系统项目编号</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项目类型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项目二级类型</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项目子类型</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项目主管部门</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项目实施单位</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项目地点（乡、村）</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项目内容及规模</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群众参与和利益联结机制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是否跨年度项目</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kern w:val="0"/>
                <w:sz w:val="24"/>
                <w:szCs w:val="24"/>
                <w:u w:val="none"/>
                <w:lang w:val="en-US" w:eastAsia="zh-CN" w:bidi="ar"/>
              </w:rPr>
            </w:pPr>
            <w:r>
              <w:rPr>
                <w:rFonts w:hint="eastAsia" w:ascii="黑体" w:hAnsi="宋体" w:eastAsia="黑体" w:cs="黑体"/>
                <w:b/>
                <w:bCs/>
                <w:i w:val="0"/>
                <w:iCs w:val="0"/>
                <w:color w:val="000000"/>
                <w:kern w:val="0"/>
                <w:sz w:val="24"/>
                <w:szCs w:val="24"/>
                <w:u w:val="none"/>
                <w:lang w:val="en-US" w:eastAsia="zh-CN" w:bidi="ar"/>
              </w:rPr>
              <w:t>实施</w:t>
            </w:r>
          </w:p>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年度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拟安排衔接资金年度</w:t>
            </w: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中央和省级资金</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市（州）级资金</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县（市、区）级资金</w:t>
            </w:r>
          </w:p>
        </w:tc>
        <w:tc>
          <w:tcPr>
            <w:tcW w:w="9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4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5392.93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2272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202.64 </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40 </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 xml:space="preserve">1878.3 </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乐山市沙湾区2025年省级财政畜牧产业发展项目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5300001267092160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生产项目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养殖业基地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太平镇、踏水镇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踏水镇,太平镇</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新建蛋鸡舍1栋，蛋鸡育雏舍3栋，实现蛋鸡高质量发展</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流转农户土地每亩约600元/年的，新增养殖工程师、鸡蛋分拣员、管理人员等岗位约25个，优先聘用本地农户，按人均年薪5万元测算，每年预计发放工资125万元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2628</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788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1840 </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沙湾区2025年稳定畜牧业产能项目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5300001268927518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生产项目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养殖业基地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调动养殖户积极性，稳定畜牧业产能，全区生猪出栏10.84万头，确保全区能繁母猪存栏维持在0.61万头左右的产能调控绿色区间</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20.4 </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沙湾区农业产品品牌宣传项目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5300001261729100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加工流通项目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品牌打造和展销平台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制作4条3分钟以内的产品品牌宣传短视频推荐四川电视台采用和四川观察客户端发布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 </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葫芦镇四峨山村蓄水保灌项目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5300001259089668</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产业园（区）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四峨山村</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整治自然沟渠100米，修建引水沟渠465米，新建水井1口，配置特色产业品牌宣传4处</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解决群众生产生活用水，推动流转土地约150余亩特色水稻种植基地，带动农户55户205人，带动10户23人脱贫户务工增收，预计人均增收500元左右。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91</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73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18 </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葫芦镇江村蒋杠梯田引水保灌项目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5300001259089889</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产业园（区）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江村</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在四峨山村甘溪沟建设3处梯级蓄水水坝，维修整治引水沟渠540m，建设提灌站2处，新建灌溉水井一口，配置管道300米</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通过项目的实施，吸纳60名农户参与工程建设，人均收入增加2000元，项目实施后为群众生产种植提供方便，带动脱贫群众发展农业生产，增强了村集体组织的凝聚力。</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88.5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71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17.5 </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沙湾区2025年农田水利设施保险项目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5300001263983716</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金融保险配套项目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其他</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对三面光浆砌田埂投保10000米，200PC管道投保2000米，50PC管道投保3000米，30㎝*40㎝沟渠投保2000米，100㎝*70㎝沟渠投保3000米，提灌站投保3座</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 </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 </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沙湾区2025年养殖环节病死猪无害处理项目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5300001268919875</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金融保险配套项目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其他</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病死猪无害化处理2416头</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1.7367</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1.74 </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牛石镇利农村林竹业产业路建设项目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5300001258967861</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产业路、资源路、旅游路建设</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民宗局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利农村</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硬化路面长2500米，宽3.5米，厚0.18米，混凝土标号C30（含边沟、涵洞建设）</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预计年种植收入约80万元，带动40余户发展林竹种植300余亩，吸纳80余人务工，群众土地租金等收益15万元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138.295</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38.3 </w:t>
            </w: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35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沙湾区基层产权流转交易标准化规范化建设咨询服务项目</w:t>
            </w:r>
          </w:p>
        </w:tc>
        <w:tc>
          <w:tcPr>
            <w:tcW w:w="930"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5300001270328176</w:t>
            </w:r>
          </w:p>
        </w:tc>
        <w:tc>
          <w:tcPr>
            <w:tcW w:w="72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88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103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91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完成清查核实工作机制建设、政策培训宣传等工作、三资清查核实工作；完成清查核实系统与沙湾三资监管平台数据互联互通，优质农村资源、资产进行全景VR拍摄，进行数字信息采集、项目包装，协助盘活沙湾区闲置资源资产。</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20.00 </w:t>
            </w: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135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牛石镇九龙口村中药材种植基地建设项目</w:t>
            </w:r>
          </w:p>
        </w:tc>
        <w:tc>
          <w:tcPr>
            <w:tcW w:w="930" w:type="dxa"/>
            <w:tcBorders>
              <w:top w:val="single" w:color="auto"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5300001277241539</w:t>
            </w:r>
          </w:p>
        </w:tc>
        <w:tc>
          <w:tcPr>
            <w:tcW w:w="720"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103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产业园</w:t>
            </w:r>
          </w:p>
        </w:tc>
        <w:tc>
          <w:tcPr>
            <w:tcW w:w="91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w:t>
            </w:r>
          </w:p>
        </w:tc>
        <w:tc>
          <w:tcPr>
            <w:tcW w:w="112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九龙口村</w:t>
            </w:r>
          </w:p>
        </w:tc>
        <w:tc>
          <w:tcPr>
            <w:tcW w:w="2385"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新建55亩中药材大棚及灌溉设备一套</w:t>
            </w:r>
          </w:p>
        </w:tc>
        <w:tc>
          <w:tcPr>
            <w:tcW w:w="19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吸纳脱贫群众务工40人次，0.8万元</w:t>
            </w:r>
          </w:p>
        </w:tc>
        <w:tc>
          <w:tcPr>
            <w:tcW w:w="6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13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福禄镇万福桥村四块田道路新建项目</w:t>
            </w:r>
          </w:p>
        </w:tc>
        <w:tc>
          <w:tcPr>
            <w:tcW w:w="93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5300001277245524</w:t>
            </w:r>
          </w:p>
        </w:tc>
        <w:tc>
          <w:tcPr>
            <w:tcW w:w="7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8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10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产业路、资源路、旅游路建设</w:t>
            </w:r>
          </w:p>
        </w:tc>
        <w:tc>
          <w:tcPr>
            <w:tcW w:w="9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交通运输局</w:t>
            </w:r>
          </w:p>
        </w:tc>
        <w:tc>
          <w:tcPr>
            <w:tcW w:w="10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11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万福桥村</w:t>
            </w:r>
          </w:p>
        </w:tc>
        <w:tc>
          <w:tcPr>
            <w:tcW w:w="23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采用C30混凝土新建硬化道路长160米、宽5米、厚度20厘米,包含边沟160米及配套设施</w:t>
            </w:r>
          </w:p>
        </w:tc>
        <w:tc>
          <w:tcPr>
            <w:tcW w:w="19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联农带户吸纳群众务工20人次</w:t>
            </w:r>
          </w:p>
        </w:tc>
        <w:tc>
          <w:tcPr>
            <w:tcW w:w="6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13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葫芦镇四峨山村2025年通组道路硬化项目</w:t>
            </w:r>
          </w:p>
        </w:tc>
        <w:tc>
          <w:tcPr>
            <w:tcW w:w="93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5300001277247696</w:t>
            </w:r>
          </w:p>
        </w:tc>
        <w:tc>
          <w:tcPr>
            <w:tcW w:w="7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8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10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产业路、资源路、旅游路建设</w:t>
            </w:r>
          </w:p>
        </w:tc>
        <w:tc>
          <w:tcPr>
            <w:tcW w:w="9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交通运输局</w:t>
            </w:r>
          </w:p>
        </w:tc>
        <w:tc>
          <w:tcPr>
            <w:tcW w:w="10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w:t>
            </w:r>
          </w:p>
        </w:tc>
        <w:tc>
          <w:tcPr>
            <w:tcW w:w="11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四峨山村</w:t>
            </w:r>
          </w:p>
        </w:tc>
        <w:tc>
          <w:tcPr>
            <w:tcW w:w="23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硬化通组道路长530米，宽4.5米，厚0.18米</w:t>
            </w:r>
          </w:p>
        </w:tc>
        <w:tc>
          <w:tcPr>
            <w:tcW w:w="19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带动脱贫群众农业生产发展，增强了村集体组织的凝聚力</w:t>
            </w:r>
          </w:p>
        </w:tc>
        <w:tc>
          <w:tcPr>
            <w:tcW w:w="6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135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踏水镇特色水稻品牌宣传推广项目</w:t>
            </w:r>
          </w:p>
        </w:tc>
        <w:tc>
          <w:tcPr>
            <w:tcW w:w="930" w:type="dxa"/>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5300001277238241</w:t>
            </w:r>
          </w:p>
        </w:tc>
        <w:tc>
          <w:tcPr>
            <w:tcW w:w="72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加工流通项目</w:t>
            </w:r>
          </w:p>
        </w:tc>
        <w:tc>
          <w:tcPr>
            <w:tcW w:w="10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品牌打造和展销项目</w:t>
            </w:r>
          </w:p>
        </w:tc>
        <w:tc>
          <w:tcPr>
            <w:tcW w:w="91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踏水镇</w:t>
            </w:r>
          </w:p>
        </w:tc>
        <w:tc>
          <w:tcPr>
            <w:tcW w:w="112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高速路连接线路口</w:t>
            </w:r>
          </w:p>
        </w:tc>
        <w:tc>
          <w:tcPr>
            <w:tcW w:w="238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特色水稻品牌宣传牌1个，长15米、宽4.7米</w:t>
            </w:r>
          </w:p>
        </w:tc>
        <w:tc>
          <w:tcPr>
            <w:tcW w:w="193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乐山市冷水鱼千亿级优势特色农业产业培育项目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生产项目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养殖基地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太平镇</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建设鲟鱼肉类初加工厂房，配套建设原料冻库、成品冻库等，购买自动真空贴体包装机，斩拌机，变频滚揉机等鱼类初加工设备</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流转土地600亩，惠及农户300余户，土地租金72万元/年(1200元/亩)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是</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2026年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1240</w:t>
            </w: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乐山市沙湾区2025年太平镇高标准农田改造提升项目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sz w:val="22"/>
                <w:szCs w:val="22"/>
                <w:u w:val="none"/>
              </w:rPr>
              <w:t>5300001279202093</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配套设施项目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小型农田水利设施建设</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太平镇</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田（地）块整治922.76亩，灌溉与排水工程整治渠道共4529米，田间生产道路934米，土壤培肥3000亩</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rPr>
            </w:pPr>
            <w:r>
              <w:rPr>
                <w:rFonts w:hint="eastAsia" w:ascii="仿宋" w:hAnsi="仿宋" w:eastAsia="仿宋" w:cs="仿宋"/>
                <w:b w:val="0"/>
                <w:bCs w:val="0"/>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300</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300</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16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2025年水产养殖重点品种上市前批批速测项目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产业发展</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产业服务支撑项目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科技服务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农业农村局</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农业农村局</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沙湾区</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购买水产品药物残留快检设备一套</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带动生产发展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否</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2025年</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2025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w:t>
            </w:r>
          </w:p>
        </w:tc>
        <w:tc>
          <w:tcPr>
            <w:tcW w:w="8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97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c>
          <w:tcPr>
            <w:tcW w:w="43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4"/>
                <w:szCs w:val="24"/>
                <w:u w:val="none"/>
              </w:rPr>
            </w:pPr>
          </w:p>
        </w:tc>
      </w:tr>
    </w:tbl>
    <w:p>
      <w:pPr>
        <w:pStyle w:val="2"/>
        <w:rPr>
          <w:rFonts w:hint="default"/>
          <w:lang w:val="en-US" w:eastAsia="zh-CN"/>
        </w:rPr>
      </w:pPr>
    </w:p>
    <w:p>
      <w:pPr>
        <w:rPr>
          <w:rFonts w:hint="default"/>
          <w:lang w:val="en-US" w:eastAsia="zh-CN"/>
        </w:rPr>
      </w:pPr>
      <w:bookmarkStart w:id="0" w:name="_GoBack"/>
      <w:bookmarkEnd w:id="0"/>
    </w:p>
    <w:tbl>
      <w:tblPr>
        <w:tblStyle w:val="4"/>
        <w:tblW w:w="212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0"/>
        <w:gridCol w:w="1500"/>
        <w:gridCol w:w="1260"/>
        <w:gridCol w:w="870"/>
        <w:gridCol w:w="990"/>
        <w:gridCol w:w="990"/>
        <w:gridCol w:w="825"/>
        <w:gridCol w:w="915"/>
        <w:gridCol w:w="840"/>
        <w:gridCol w:w="1815"/>
        <w:gridCol w:w="1980"/>
        <w:gridCol w:w="765"/>
        <w:gridCol w:w="930"/>
        <w:gridCol w:w="975"/>
        <w:gridCol w:w="990"/>
        <w:gridCol w:w="1020"/>
        <w:gridCol w:w="855"/>
        <w:gridCol w:w="735"/>
        <w:gridCol w:w="735"/>
        <w:gridCol w:w="795"/>
        <w:gridCol w:w="6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99" w:hRule="atLeast"/>
        </w:trPr>
        <w:tc>
          <w:tcPr>
            <w:tcW w:w="21235" w:type="dxa"/>
            <w:gridSpan w:val="2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56"/>
                <w:szCs w:val="56"/>
                <w:u w:val="none"/>
              </w:rPr>
            </w:pPr>
            <w:r>
              <w:rPr>
                <w:rFonts w:hint="eastAsia" w:ascii="方正小标宋简体" w:hAnsi="方正小标宋简体" w:eastAsia="方正小标宋简体" w:cs="方正小标宋简体"/>
                <w:i w:val="0"/>
                <w:iCs w:val="0"/>
                <w:color w:val="000000"/>
                <w:kern w:val="0"/>
                <w:sz w:val="56"/>
                <w:szCs w:val="56"/>
                <w:u w:val="none"/>
                <w:lang w:val="en-US" w:eastAsia="zh-CN" w:bidi="ar"/>
              </w:rPr>
              <w:t>沙湾区2025年财政衔接推进乡村振兴补助资金年度项目实施计划中期调整调减表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trPr>
        <w:tc>
          <w:tcPr>
            <w:tcW w:w="8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序号</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项目名称</w:t>
            </w:r>
          </w:p>
        </w:tc>
        <w:tc>
          <w:tcPr>
            <w:tcW w:w="41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项目库信息</w:t>
            </w:r>
          </w:p>
        </w:tc>
        <w:tc>
          <w:tcPr>
            <w:tcW w:w="637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项目摘要</w:t>
            </w:r>
          </w:p>
        </w:tc>
        <w:tc>
          <w:tcPr>
            <w:tcW w:w="26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实施时间</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项目预算总投资</w:t>
            </w:r>
            <w:r>
              <w:rPr>
                <w:rFonts w:hint="eastAsia" w:ascii="黑体" w:hAnsi="宋体" w:eastAsia="黑体" w:cs="黑体"/>
                <w:b/>
                <w:bCs/>
                <w:i w:val="0"/>
                <w:iCs w:val="0"/>
                <w:color w:val="000000"/>
                <w:kern w:val="0"/>
                <w:sz w:val="24"/>
                <w:szCs w:val="24"/>
                <w:u w:val="none"/>
                <w:lang w:val="en-US" w:eastAsia="zh-CN" w:bidi="ar"/>
              </w:rPr>
              <w:br w:type="textWrapping"/>
            </w:r>
            <w:r>
              <w:rPr>
                <w:rFonts w:hint="eastAsia" w:ascii="黑体" w:hAnsi="宋体" w:eastAsia="黑体" w:cs="黑体"/>
                <w:b/>
                <w:bCs/>
                <w:i w:val="0"/>
                <w:iCs w:val="0"/>
                <w:color w:val="000000"/>
                <w:kern w:val="0"/>
                <w:sz w:val="24"/>
                <w:szCs w:val="24"/>
                <w:u w:val="none"/>
                <w:lang w:val="en-US" w:eastAsia="zh-CN" w:bidi="ar"/>
              </w:rPr>
              <w:t>(万元)</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以前年度资金安排情况</w:t>
            </w:r>
          </w:p>
        </w:tc>
        <w:tc>
          <w:tcPr>
            <w:tcW w:w="23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2025年度计划安排衔接资金（巩固拓展脱贫攻坚成果和乡村振兴任务）（万元）</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自筹资金及其他财政资金</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trPr>
        <w:tc>
          <w:tcPr>
            <w:tcW w:w="8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项目库系统</w:t>
            </w:r>
            <w:r>
              <w:rPr>
                <w:rFonts w:hint="eastAsia" w:ascii="黑体" w:hAnsi="宋体" w:eastAsia="黑体" w:cs="黑体"/>
                <w:b/>
                <w:bCs/>
                <w:i w:val="0"/>
                <w:iCs w:val="0"/>
                <w:color w:val="000000"/>
                <w:kern w:val="0"/>
                <w:sz w:val="24"/>
                <w:szCs w:val="24"/>
                <w:u w:val="none"/>
                <w:lang w:val="en-US" w:eastAsia="zh-CN" w:bidi="ar"/>
              </w:rPr>
              <w:br w:type="textWrapping"/>
            </w:r>
            <w:r>
              <w:rPr>
                <w:rFonts w:hint="eastAsia" w:ascii="黑体" w:hAnsi="宋体" w:eastAsia="黑体" w:cs="黑体"/>
                <w:b/>
                <w:bCs/>
                <w:i w:val="0"/>
                <w:iCs w:val="0"/>
                <w:color w:val="000000"/>
                <w:kern w:val="0"/>
                <w:sz w:val="24"/>
                <w:szCs w:val="24"/>
                <w:u w:val="none"/>
                <w:lang w:val="en-US" w:eastAsia="zh-CN" w:bidi="ar"/>
              </w:rPr>
              <w:t>项目编号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项目类型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项目二级类型</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项目子类型</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项目主管部门</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项目实施单位</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项目地点（乡、村）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项目内容及规模</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群众参与和利益联结机制</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是否跨年度项目</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实施年度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拟安排衔接资金年度</w:t>
            </w: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中央和省级资金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市级资金</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县级资金</w:t>
            </w: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587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262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213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69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43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福禄镇岚坝村3组安全饮水建设项目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5300001238095781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农村供水保障设施建设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岚坝村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岚坝村3组修建75立方米蓄水池1口，配套更换管网2200米；岚坝村1组更换管网3400米。</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联农带户吸纳群众务工15人次，其中脱贫户务工5人次，带动农户务工增收3万元左右。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7.50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7.50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3.00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福禄镇万福桥村9组山坪塘维修整治项目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5300001238162986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小型农田水利设施建设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万福桥村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加固维修山坪塘2亩</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联农带户吸纳群众务工70人次，其中脱贫群众务工20人次；预计带动农户增收5万元左右。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8.50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8.50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福禄镇燕子坎村5组生产排灌建设项目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5300001238094363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小型农田水利设施建设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燕子坎村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在燕子坎村5组新建200立方米灌溉水池1个，配套建设10平方米抽水泵房1间、潜水泵1台，配套管网5000米及配件。</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联农带户吸纳群众务工50人次；预计集体经济增收2万元、预计带动农户增收10万元左右。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福禄镇雷店村蓄水池建设项目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5300001001963758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农村供水保障设施建设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水务局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雷店村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3组新建混凝土蓄水池100立方1口、7组新建混凝土蓄水池50立方1口，配套管网700米、水泵1台。</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联农带户吸纳群众务工45人次，预计群众怎加务工工资2.1万元。</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2023年度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22.00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福禄镇观房寺村5组新建蓄水池项目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5300001158683971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农村供水保障设施建设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水务局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观房寺村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新建50立方蓄水池2口，配套管网4500米及配件、水泵2台、电线600米。</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吸纳群众务工60人次、预计群众增收1.5万元</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2024年度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20.00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10.00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福禄镇岚坝村佛手柑产业园区道路硬化项目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5300001238096139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产业路、资源路、旅游路建设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岚坝村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硬化佛手柑产业园区道路1200米、宽3.5米、厚0.18米，建设回车坝3处。</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联农带农吸纳群众务工90人次，其中脱贫人员务工30人次，带动农户务工增收8万元左右。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24.00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12.00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4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葫芦镇四峨山村2025年生产道路建设项目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5300001238125037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产业路、资源路、旅游路建设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四峨山村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采用C25混凝土生产道路长1500米、宽3米、厚0.15米，新建4处长8米，宽2.5米，厚0.15米错车道；采用C25混凝土硬化生产道路长2000米、宽2.5米、厚0.15米。</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通过项目的实施，吸纳40名农户参与工程建设，人均收入增加2000元，项目实施后使群众出行、农资和农产品运输更加方便、快捷，带动脱贫群众农业生产发展</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42.50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42.50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葫芦镇四峨山村2025年现代农业产业园区旱改水项目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5300001238126827</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产业园（区）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葫芦镇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四峨山村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新建宽1.5米、厚0.1米生产路2000米；新建0.3*0.3米堰渠长2000米；旱地恢复200亩</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通过项目的实施，吸纳50名农户参与工程建设，人均收入增加2000元，项目实施后为群众生产种植提供方便，带动脱贫群众发展农业生产</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49.00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49.00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牛石镇利农村高山果蔬产业路建设项目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5300001238094122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农村基础设施（含产业配套基础设施）</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产业路、资源路、旅游路建设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牛石镇利农村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修建利农村生产步道1300米宽度1.5米（含危险路段混凝土造型护栏）。</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吸纳脱贫群众务工300人次、带动周边群众发展养殖土鸡鸭10000只，解决种植林竹、水果等产业生产道路。</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98.00 </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49.00 </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49.00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踏水镇魏槽村堰塘新建项目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5300001238192153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生产项目</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水产养殖业发展</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踏水镇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踏水镇魏槽村5组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新建1个能蓄水1400立方米的堰塘，鱼塘外墙边堡坎长150米、高3米、宽0.3米</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提高产业基础设施建设，保障周边农田山地生产性用水，同时促进渔业养殖和乡村旅游发展，增加村集体年收入约3万元，增加脱贫户年终分配收益。</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17.5</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0.00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太平镇园区文化振兴规划项目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5300001238361851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太平镇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太平镇沫江村</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文化文创总策划，总体打造园区文化氛围，结合沫若文化讲好中药材文章。</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促进中药材宣传，提高中药材销售，提高群众收入，受益人口1565余人</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8.00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轸溪镇金牛村3组山坪塘维修整治项目</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5300001238191700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配套设施项目</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小型农田水利设施建设</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轸溪镇</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金牛村3组</w:t>
            </w:r>
          </w:p>
        </w:tc>
        <w:tc>
          <w:tcPr>
            <w:tcW w:w="18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维修治理两个山坪塘（面积约6666.67平方米）</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解决群众生产生活用水，推动流转土地约500余亩国药中药材基地，50余亩魔芋基地等产业用水。带动农户75户265人，带动4户17人脱贫户务工增收，预计人均增收500元左右。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否</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无</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15.00 </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rPr>
          <w:rFonts w:hint="default"/>
          <w:lang w:val="en-US" w:eastAsia="zh-CN"/>
        </w:rPr>
      </w:pPr>
    </w:p>
    <w:p>
      <w:pPr>
        <w:pStyle w:val="2"/>
        <w:rPr>
          <w:rFonts w:hint="default"/>
          <w:lang w:val="en-US" w:eastAsia="zh-CN"/>
        </w:rPr>
      </w:pP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p>
    <w:tbl>
      <w:tblPr>
        <w:tblStyle w:val="4"/>
        <w:tblpPr w:leftFromText="180" w:rightFromText="180" w:vertAnchor="text" w:horzAnchor="page" w:tblpX="1743" w:tblpY="773"/>
        <w:tblOverlap w:val="never"/>
        <w:tblW w:w="21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8"/>
        <w:gridCol w:w="2085"/>
        <w:gridCol w:w="1410"/>
        <w:gridCol w:w="1260"/>
        <w:gridCol w:w="960"/>
        <w:gridCol w:w="960"/>
        <w:gridCol w:w="1050"/>
        <w:gridCol w:w="825"/>
        <w:gridCol w:w="1082"/>
        <w:gridCol w:w="1230"/>
        <w:gridCol w:w="1140"/>
        <w:gridCol w:w="1005"/>
        <w:gridCol w:w="960"/>
        <w:gridCol w:w="1005"/>
        <w:gridCol w:w="1200"/>
        <w:gridCol w:w="1095"/>
        <w:gridCol w:w="960"/>
        <w:gridCol w:w="1095"/>
        <w:gridCol w:w="1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9" w:hRule="atLeast"/>
        </w:trPr>
        <w:tc>
          <w:tcPr>
            <w:tcW w:w="21155" w:type="dxa"/>
            <w:gridSpan w:val="19"/>
            <w:tcBorders>
              <w:top w:val="nil"/>
              <w:left w:val="nil"/>
              <w:bottom w:val="nil"/>
              <w:right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olor w:val="000000"/>
                <w:kern w:val="0"/>
                <w:sz w:val="56"/>
                <w:szCs w:val="56"/>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i w:val="0"/>
                <w:iCs w:val="0"/>
                <w:color w:val="000000"/>
                <w:kern w:val="0"/>
                <w:sz w:val="56"/>
                <w:szCs w:val="56"/>
                <w:u w:val="none"/>
                <w:lang w:val="en-US" w:eastAsia="zh-CN" w:bidi="ar"/>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i w:val="0"/>
                <w:iCs w:val="0"/>
                <w:color w:val="000000"/>
                <w:sz w:val="24"/>
                <w:szCs w:val="24"/>
                <w:u w:val="none"/>
              </w:rPr>
            </w:pPr>
            <w:r>
              <w:rPr>
                <w:rFonts w:hint="eastAsia" w:ascii="方正小标宋简体" w:hAnsi="方正小标宋简体" w:eastAsia="方正小标宋简体" w:cs="方正小标宋简体"/>
                <w:i w:val="0"/>
                <w:iCs w:val="0"/>
                <w:color w:val="000000"/>
                <w:kern w:val="0"/>
                <w:sz w:val="56"/>
                <w:szCs w:val="56"/>
                <w:u w:val="none"/>
                <w:lang w:val="en-US" w:eastAsia="zh-CN" w:bidi="ar"/>
              </w:rPr>
              <w:t>沙湾区2025年财政衔接推进乡村振兴补助资金年度项目实施计划中期调整变更表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98"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序号</w:t>
            </w:r>
          </w:p>
        </w:tc>
        <w:tc>
          <w:tcPr>
            <w:tcW w:w="2085"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项目名称</w:t>
            </w:r>
          </w:p>
        </w:tc>
        <w:tc>
          <w:tcPr>
            <w:tcW w:w="2670" w:type="dxa"/>
            <w:gridSpan w:val="2"/>
            <w:vMerge w:val="restart"/>
            <w:tcBorders>
              <w:top w:val="single" w:color="auto" w:sz="4" w:space="0"/>
              <w:left w:val="single" w:color="auto"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项目库信息</w:t>
            </w:r>
          </w:p>
        </w:tc>
        <w:tc>
          <w:tcPr>
            <w:tcW w:w="2970" w:type="dxa"/>
            <w:gridSpan w:val="3"/>
            <w:vMerge w:val="restart"/>
            <w:tcBorders>
              <w:top w:val="single" w:color="auto"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项目摘要</w:t>
            </w:r>
          </w:p>
        </w:tc>
        <w:tc>
          <w:tcPr>
            <w:tcW w:w="19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实施时间</w:t>
            </w:r>
          </w:p>
        </w:tc>
        <w:tc>
          <w:tcPr>
            <w:tcW w:w="53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变更前投资金额</w:t>
            </w:r>
          </w:p>
        </w:tc>
        <w:tc>
          <w:tcPr>
            <w:tcW w:w="53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变更后投资金额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2" w:hRule="atLeast"/>
        </w:trPr>
        <w:tc>
          <w:tcPr>
            <w:tcW w:w="798" w:type="dxa"/>
            <w:vMerge w:val="continue"/>
            <w:tcBorders>
              <w:left w:val="single" w:color="auto" w:sz="4" w:space="0"/>
              <w:right w:val="single" w:color="auto"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2085" w:type="dxa"/>
            <w:vMerge w:val="continue"/>
            <w:tcBorders>
              <w:top w:val="nil"/>
              <w:left w:val="single" w:color="auto" w:sz="4" w:space="0"/>
              <w:bottom w:val="single" w:color="000000" w:sz="4" w:space="0"/>
              <w:right w:val="single" w:color="auto"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2670" w:type="dxa"/>
            <w:gridSpan w:val="2"/>
            <w:vMerge w:val="continue"/>
            <w:tcBorders>
              <w:top w:val="nil"/>
              <w:left w:val="single" w:color="auto" w:sz="4" w:space="0"/>
              <w:bottom w:val="single" w:color="000000" w:sz="4" w:space="0"/>
              <w:right w:val="nil"/>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2970" w:type="dxa"/>
            <w:gridSpan w:val="3"/>
            <w:vMerge w:val="continue"/>
            <w:tcBorders>
              <w:top w:val="nil"/>
              <w:left w:val="nil"/>
              <w:bottom w:val="single" w:color="000000" w:sz="4" w:space="0"/>
              <w:right w:val="nil"/>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9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项目预算总投资</w:t>
            </w:r>
            <w:r>
              <w:rPr>
                <w:rFonts w:hint="eastAsia" w:ascii="黑体" w:hAnsi="宋体" w:eastAsia="黑体" w:cs="黑体"/>
                <w:b/>
                <w:bCs/>
                <w:i w:val="0"/>
                <w:iCs w:val="0"/>
                <w:color w:val="000000"/>
                <w:kern w:val="0"/>
                <w:sz w:val="24"/>
                <w:szCs w:val="24"/>
                <w:u w:val="none"/>
                <w:lang w:val="en-US" w:eastAsia="zh-CN" w:bidi="ar"/>
              </w:rPr>
              <w:br w:type="textWrapping"/>
            </w:r>
            <w:r>
              <w:rPr>
                <w:rFonts w:hint="eastAsia" w:ascii="黑体" w:hAnsi="宋体" w:eastAsia="黑体" w:cs="黑体"/>
                <w:b/>
                <w:bCs/>
                <w:i w:val="0"/>
                <w:iCs w:val="0"/>
                <w:color w:val="000000"/>
                <w:kern w:val="0"/>
                <w:sz w:val="24"/>
                <w:szCs w:val="24"/>
                <w:u w:val="none"/>
                <w:lang w:val="en-US" w:eastAsia="zh-CN" w:bidi="ar"/>
              </w:rPr>
              <w:t>（万元）</w:t>
            </w:r>
          </w:p>
        </w:tc>
        <w:tc>
          <w:tcPr>
            <w:tcW w:w="31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2025年度计划安排衔接资金（万元）</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自筹资金及其他财政资金</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项目预算总投资</w:t>
            </w:r>
          </w:p>
        </w:tc>
        <w:tc>
          <w:tcPr>
            <w:tcW w:w="31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2025年度计划安排衔接资金（万元）</w:t>
            </w: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自筹资金及其他财政资金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trPr>
        <w:tc>
          <w:tcPr>
            <w:tcW w:w="798" w:type="dxa"/>
            <w:vMerge w:val="continue"/>
            <w:tcBorders>
              <w:left w:val="single" w:color="auto" w:sz="4" w:space="0"/>
              <w:bottom w:val="single" w:color="000000" w:sz="4" w:space="0"/>
              <w:right w:val="single" w:color="auto"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2085" w:type="dxa"/>
            <w:vMerge w:val="continue"/>
            <w:tcBorders>
              <w:top w:val="nil"/>
              <w:left w:val="single" w:color="auto" w:sz="4" w:space="0"/>
              <w:bottom w:val="single" w:color="000000" w:sz="4" w:space="0"/>
              <w:right w:val="single" w:color="auto"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4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项目库系统项目编号</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项目类型</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项目主管部门</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项目实施单位</w:t>
            </w:r>
          </w:p>
        </w:tc>
        <w:tc>
          <w:tcPr>
            <w:tcW w:w="105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项目地点（乡、村）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实施年度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拟安排衔接资金年度</w:t>
            </w: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中央和省级资金</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市级资金</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县（市、区）级资金</w:t>
            </w: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中央和省级资金</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市级资金</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4"/>
                <w:szCs w:val="24"/>
                <w:u w:val="none"/>
              </w:rPr>
            </w:pPr>
            <w:r>
              <w:rPr>
                <w:rFonts w:hint="eastAsia" w:ascii="黑体" w:hAnsi="宋体" w:eastAsia="黑体" w:cs="黑体"/>
                <w:b/>
                <w:bCs/>
                <w:i w:val="0"/>
                <w:iCs w:val="0"/>
                <w:color w:val="000000"/>
                <w:kern w:val="0"/>
                <w:sz w:val="24"/>
                <w:szCs w:val="24"/>
                <w:u w:val="none"/>
                <w:lang w:val="en-US" w:eastAsia="zh-CN" w:bidi="ar"/>
              </w:rPr>
              <w:t>县（市、区）级资金</w:t>
            </w: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9" w:hRule="atLeast"/>
        </w:trPr>
        <w:tc>
          <w:tcPr>
            <w:tcW w:w="79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208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41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3616.8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2151.3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213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845.5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407</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3082.553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1797.89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160.74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853.423</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福禄镇沙湾儿村2组烟地坪产业路硬化项目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5300001238095427</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福禄镇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沙湾儿村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沙湾镇二峨山村产业道路硬化工程项目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5300001238275265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区农业农村局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沙湾镇二峨山村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沙湾区2025年新型农村集体经济发展项目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5300001238322071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1135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660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325</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865.5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沙湾区2025欠发达国有林场巩固提升项目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5300001238052056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自然资源局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二峨山村</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205</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沙湾区2025年项目管理费</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5300001238047246</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沙湾区2025年先发带后发结对帮扶金口河区项目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5300001238046099</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财政局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540</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540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沙湾区2025年种养殖业发展补助项目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5300001238044141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产业发展</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900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884.53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884.53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沙湾区2025年易地扶贫搬迁贷款贴息补助项目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5300001238042630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易地搬迁后扶</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发改局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沙湾区2025年跨区域务工就业交通补助项目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5300001238038475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就业项目</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68.52</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36.92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31.6</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沙湾区2025年巩固脱贫成果补短板项目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5300001238034745</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27.193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27.193</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沙湾区2025年农村公路管理养护项目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5300001238025524</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项目管理费</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交运局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63.74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63.74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沙湾区2025年山洪灾害危险区基层责任人履职补贴项目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5300001238022860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就业项目</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水务局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1.44</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沙湾区2025年外出务工就业补助</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5300001238020951</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就业项目</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全区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0</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34.63</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34.63</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轸溪镇寨子村7组产业路硬化项目</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5300001238182982</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乡村建设行动</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农业农村局</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轸溪镇</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寨子村7组</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0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2025年度</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67</w:t>
            </w: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2"/>
        <w:jc w:val="both"/>
        <w:rPr>
          <w:rFonts w:hint="default"/>
          <w:lang w:val="en-US" w:eastAsia="zh-CN"/>
        </w:rPr>
      </w:pPr>
    </w:p>
    <w:sectPr>
      <w:pgSz w:w="23811" w:h="16838" w:orient="landscape"/>
      <w:pgMar w:top="1349" w:right="1327" w:bottom="1349" w:left="1327" w:header="851" w:footer="992" w:gutter="0"/>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0"/>
  <w:bordersDoNotSurroundFooter w:val="0"/>
  <w:attachedTemplate r:id="rId1"/>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2ZGRjMzJiODczOWYwOGY3MDUzY2I2Mjg5MzY0OTAifQ=="/>
  </w:docVars>
  <w:rsids>
    <w:rsidRoot w:val="114C0D1B"/>
    <w:rsid w:val="03FF6C45"/>
    <w:rsid w:val="04740CC5"/>
    <w:rsid w:val="069F3957"/>
    <w:rsid w:val="07D77B09"/>
    <w:rsid w:val="08387D17"/>
    <w:rsid w:val="08A37590"/>
    <w:rsid w:val="0C2E7A4A"/>
    <w:rsid w:val="114C0D1B"/>
    <w:rsid w:val="116E5E3C"/>
    <w:rsid w:val="14F00332"/>
    <w:rsid w:val="1500034B"/>
    <w:rsid w:val="18786447"/>
    <w:rsid w:val="204F2070"/>
    <w:rsid w:val="27B60CB4"/>
    <w:rsid w:val="289C2302"/>
    <w:rsid w:val="29740680"/>
    <w:rsid w:val="2BF6009E"/>
    <w:rsid w:val="2D650998"/>
    <w:rsid w:val="36AA5BC6"/>
    <w:rsid w:val="45EF5438"/>
    <w:rsid w:val="49A54456"/>
    <w:rsid w:val="4B78481E"/>
    <w:rsid w:val="4B897A7D"/>
    <w:rsid w:val="4DC31E18"/>
    <w:rsid w:val="54BA1E30"/>
    <w:rsid w:val="56E75666"/>
    <w:rsid w:val="59C90DFC"/>
    <w:rsid w:val="5B496F49"/>
    <w:rsid w:val="5B8F7910"/>
    <w:rsid w:val="5C025303"/>
    <w:rsid w:val="6072307E"/>
    <w:rsid w:val="621A7758"/>
    <w:rsid w:val="62946B85"/>
    <w:rsid w:val="6CC551FD"/>
    <w:rsid w:val="6D535020"/>
    <w:rsid w:val="6E810031"/>
    <w:rsid w:val="72D40B09"/>
    <w:rsid w:val="75A83FCE"/>
    <w:rsid w:val="7B284276"/>
    <w:rsid w:val="7C447249"/>
    <w:rsid w:val="7C5C2D98"/>
    <w:rsid w:val="7F533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章标题"/>
    <w:basedOn w:val="1"/>
    <w:next w:val="3"/>
    <w:qFormat/>
    <w:uiPriority w:val="99"/>
    <w:pPr>
      <w:widowControl/>
      <w:spacing w:before="158" w:after="153" w:line="323" w:lineRule="atLeast"/>
      <w:ind w:right="-120"/>
      <w:jc w:val="center"/>
      <w:textAlignment w:val="baseline"/>
    </w:pPr>
    <w:rPr>
      <w:color w:val="FF0000"/>
      <w:sz w:val="18"/>
    </w:rPr>
  </w:style>
  <w:style w:type="paragraph" w:customStyle="1" w:styleId="3">
    <w:name w:val="节标题"/>
    <w:basedOn w:val="1"/>
    <w:next w:val="1"/>
    <w:unhideWhenUsed/>
    <w:qFormat/>
    <w:uiPriority w:val="99"/>
    <w:pPr>
      <w:spacing w:line="289" w:lineRule="atLeast"/>
      <w:jc w:val="center"/>
      <w:textAlignment w:val="baseline"/>
    </w:pPr>
    <w:rPr>
      <w:rFonts w:hint="eastAsia"/>
      <w:color w:val="000000"/>
      <w:sz w:val="28"/>
    </w:rPr>
  </w:style>
  <w:style w:type="character" w:customStyle="1" w:styleId="6">
    <w:name w:val="font61"/>
    <w:basedOn w:val="5"/>
    <w:qFormat/>
    <w:uiPriority w:val="0"/>
    <w:rPr>
      <w:rFonts w:hint="default" w:ascii="仿宋_GB2312" w:eastAsia="仿宋_GB2312" w:cs="仿宋_GB2312"/>
      <w:color w:val="000000"/>
      <w:sz w:val="20"/>
      <w:szCs w:val="20"/>
      <w:u w:val="none"/>
    </w:rPr>
  </w:style>
  <w:style w:type="character" w:customStyle="1" w:styleId="7">
    <w:name w:val="font121"/>
    <w:basedOn w:val="5"/>
    <w:qFormat/>
    <w:uiPriority w:val="0"/>
    <w:rPr>
      <w:rFonts w:hint="eastAsia" w:ascii="宋体" w:hAnsi="宋体" w:eastAsia="宋体" w:cs="宋体"/>
      <w:color w:val="000000"/>
      <w:sz w:val="20"/>
      <w:szCs w:val="20"/>
      <w:u w:val="none"/>
    </w:rPr>
  </w:style>
  <w:style w:type="character" w:customStyle="1" w:styleId="8">
    <w:name w:val="font81"/>
    <w:basedOn w:val="5"/>
    <w:qFormat/>
    <w:uiPriority w:val="0"/>
    <w:rPr>
      <w:rFonts w:hint="eastAsia" w:ascii="仿宋" w:hAnsi="仿宋" w:eastAsia="仿宋" w:cs="仿宋"/>
      <w:color w:val="000000"/>
      <w:sz w:val="20"/>
      <w:szCs w:val="20"/>
      <w:u w:val="none"/>
    </w:rPr>
  </w:style>
  <w:style w:type="character" w:customStyle="1" w:styleId="9">
    <w:name w:val="font141"/>
    <w:basedOn w:val="5"/>
    <w:qFormat/>
    <w:uiPriority w:val="0"/>
    <w:rPr>
      <w:rFonts w:hint="eastAsia" w:ascii="宋体" w:hAnsi="宋体" w:eastAsia="宋体" w:cs="宋体"/>
      <w:color w:val="000000"/>
      <w:sz w:val="20"/>
      <w:szCs w:val="20"/>
      <w:u w:val="none"/>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161"/>
    <w:basedOn w:val="5"/>
    <w:qFormat/>
    <w:uiPriority w:val="0"/>
    <w:rPr>
      <w:rFonts w:ascii="Calibri" w:hAnsi="Calibri" w:cs="Calibri"/>
      <w:color w:val="000000"/>
      <w:sz w:val="22"/>
      <w:szCs w:val="22"/>
      <w:u w:val="none"/>
    </w:rPr>
  </w:style>
  <w:style w:type="character" w:customStyle="1" w:styleId="12">
    <w:name w:val="font11"/>
    <w:basedOn w:val="5"/>
    <w:qFormat/>
    <w:uiPriority w:val="0"/>
    <w:rPr>
      <w:rFonts w:hint="eastAsia" w:ascii="仿宋" w:hAnsi="仿宋" w:eastAsia="仿宋" w:cs="仿宋"/>
      <w:color w:val="000000"/>
      <w:sz w:val="18"/>
      <w:szCs w:val="18"/>
      <w:u w:val="none"/>
    </w:rPr>
  </w:style>
  <w:style w:type="character" w:customStyle="1" w:styleId="13">
    <w:name w:val="font31"/>
    <w:basedOn w:val="5"/>
    <w:qFormat/>
    <w:uiPriority w:val="0"/>
    <w:rPr>
      <w:rFonts w:hint="eastAsia" w:ascii="仿宋" w:hAnsi="仿宋" w:eastAsia="仿宋" w:cs="仿宋"/>
      <w:color w:val="000000"/>
      <w:sz w:val="18"/>
      <w:szCs w:val="18"/>
      <w:u w:val="none"/>
    </w:rPr>
  </w:style>
  <w:style w:type="character" w:customStyle="1" w:styleId="14">
    <w:name w:val="font71"/>
    <w:basedOn w:val="5"/>
    <w:qFormat/>
    <w:uiPriority w:val="0"/>
    <w:rPr>
      <w:rFonts w:hint="eastAsia" w:ascii="宋体" w:hAnsi="宋体" w:eastAsia="宋体" w:cs="宋体"/>
      <w:color w:val="000000"/>
      <w:sz w:val="18"/>
      <w:szCs w:val="18"/>
      <w:u w:val="none"/>
    </w:rPr>
  </w:style>
  <w:style w:type="character" w:customStyle="1" w:styleId="15">
    <w:name w:val="font41"/>
    <w:basedOn w:val="5"/>
    <w:qFormat/>
    <w:uiPriority w:val="0"/>
    <w:rPr>
      <w:rFonts w:hint="eastAsia" w:ascii="仿宋" w:hAnsi="仿宋" w:eastAsia="仿宋" w:cs="仿宋"/>
      <w:color w:val="000000"/>
      <w:sz w:val="18"/>
      <w:szCs w:val="18"/>
      <w:u w:val="none"/>
    </w:rPr>
  </w:style>
  <w:style w:type="character" w:customStyle="1" w:styleId="16">
    <w:name w:val="font112"/>
    <w:basedOn w:val="5"/>
    <w:qFormat/>
    <w:uiPriority w:val="0"/>
    <w:rPr>
      <w:rFonts w:hint="eastAsia" w:ascii="宋体" w:hAnsi="宋体" w:eastAsia="宋体" w:cs="宋体"/>
      <w:color w:val="000000"/>
      <w:sz w:val="18"/>
      <w:szCs w:val="18"/>
      <w:u w:val="none"/>
    </w:rPr>
  </w:style>
  <w:style w:type="character" w:customStyle="1" w:styleId="17">
    <w:name w:val="font51"/>
    <w:basedOn w:val="5"/>
    <w:qFormat/>
    <w:uiPriority w:val="0"/>
    <w:rPr>
      <w:rFonts w:hint="eastAsia" w:ascii="仿宋" w:hAnsi="仿宋" w:eastAsia="仿宋" w:cs="仿宋"/>
      <w:color w:val="000000"/>
      <w:sz w:val="18"/>
      <w:szCs w:val="18"/>
      <w:u w:val="none"/>
    </w:rPr>
  </w:style>
  <w:style w:type="character" w:customStyle="1" w:styleId="18">
    <w:name w:val="font91"/>
    <w:basedOn w:val="5"/>
    <w:qFormat/>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2\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2018-11-23T00:49:00Z</dcterms:created>
  <dc:creator>lenovo2</dc:creator>
  <cp:lastModifiedBy>张海军</cp:lastModifiedBy>
  <cp:lastPrinted>2018-11-23T00:59:00Z</cp:lastPrinted>
  <dcterms:modified xsi:type="dcterms:W3CDTF">2025-09-29T08:28:24Z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108741E2D16C4BEEBD4C4DF7C6360C2E</vt:lpwstr>
  </property>
</Properties>
</file>